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衢州中等专业</w:t>
      </w:r>
      <w:r>
        <w:rPr>
          <w:rFonts w:hint="eastAsia" w:ascii="方正小标宋简体" w:hAnsi="黑体" w:eastAsia="方正小标宋简体"/>
          <w:sz w:val="32"/>
          <w:szCs w:val="32"/>
        </w:rPr>
        <w:t>学校  浙江科技学院</w:t>
      </w: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中职</w:t>
      </w: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与</w:t>
      </w:r>
      <w:r>
        <w:rPr>
          <w:rFonts w:hint="eastAsia" w:ascii="方正小标宋简体" w:hAnsi="黑体" w:eastAsia="方正小标宋简体"/>
          <w:sz w:val="32"/>
          <w:szCs w:val="32"/>
        </w:rPr>
        <w:t>应用型本科一体化培养</w:t>
      </w: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202</w:t>
      </w:r>
      <w:r>
        <w:rPr>
          <w:rFonts w:ascii="方正小标宋简体" w:hAnsi="黑体" w:eastAsia="方正小标宋简体"/>
          <w:sz w:val="32"/>
          <w:szCs w:val="32"/>
        </w:rPr>
        <w:t>2</w:t>
      </w:r>
      <w:r>
        <w:rPr>
          <w:rFonts w:hint="eastAsia" w:ascii="方正小标宋简体" w:hAnsi="黑体" w:eastAsia="方正小标宋简体"/>
          <w:sz w:val="32"/>
          <w:szCs w:val="32"/>
        </w:rPr>
        <w:t>年招生简章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8" w:firstLineChars="196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为探索构建现代职业教育体系，强化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高技能人才、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应用型人才培养，2022年浙江省继续实施中职与应用型本科院校一体化人才培养试点工作。衢州中等专业学校与浙江科技学院开展中职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应用型本科一体化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培养本科层次高素质技术技能人才。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一、学校概况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8" w:firstLineChars="196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1.中职学校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8" w:firstLineChars="196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衢州中等专业学校（简称衢州中专）是衢州市政府主办的综合性普通中专，创建于1987年，校园占地430亩，建筑面积近13.85万平方米，现有财经商贸、学前艺术、机电工程、信息康养共4个学部13个专业，全日制在校生4</w:t>
      </w:r>
      <w:r>
        <w:rPr>
          <w:rFonts w:hint="default" w:ascii="仿宋" w:hAnsi="仿宋" w:eastAsia="仿宋" w:cs="仿宋"/>
          <w:b w:val="0"/>
          <w:bCs/>
          <w:sz w:val="28"/>
          <w:szCs w:val="28"/>
        </w:rPr>
        <w:t>647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人，教职工2</w:t>
      </w:r>
      <w:r>
        <w:rPr>
          <w:rFonts w:hint="default" w:ascii="仿宋" w:hAnsi="仿宋" w:eastAsia="仿宋" w:cs="仿宋"/>
          <w:b w:val="0"/>
          <w:bCs/>
          <w:sz w:val="28"/>
          <w:szCs w:val="28"/>
        </w:rPr>
        <w:t>97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人。学校是首批国家中等职业教育改革发展示范校、首批国家级重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点学校、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首批浙江省最美校园、首批浙江省中职名校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、首批浙江省现代化学校、首批浙江省“双高计划”建设单位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。先后获得全国教育系统先进集体、全国职业教育先进单位、全国中职学校德育先进集体、全国职业院校学生管理50强等10多项国家级荣誉。学校东拥信安湖，西邻九华道，南望水亭门，北倚杭金衢，交通便利，风景优美，是广受百姓关注、学子慕名求知的衢州职教龙头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8" w:firstLineChars="196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本科院校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8" w:firstLineChars="196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浙江科技学院是一所具有学士、硕士学位授予权和外国留学生、港澳台学生招生权的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国际化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应用型省属公办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本科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院校，于1980年创办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学校是教育部确定的中德合作培养高等应用型人才试点院校、教育部首批实施“卓越工程师教育培养计划”高校。学校长期借鉴德国高等应用型人才培养经验，坚持开放办学，是教育部确定的“中德论坛”基地建设单位,学校国际化总体水平位居浙江省硕博授权高校前列,是浙江省乃至全国对德教育、科技、文化交流与合作的重要窗口。是全国毕业生就业典型经验高校，毕业生就业率、薪资水平稳居浙江省前列。学校有两个校区，小和山校区位于杭州市西湖区留和路318号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安吉校区位于湖州市安吉县。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二、专业与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学制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中本专业名称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中职专业名称：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数控技术应用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本科专业名称：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机械设计制造及其自动化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学制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中职三年，本科四年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三、招生计划与录取办法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2022年计划招生40名（详见下表）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rPr>
          <w:rFonts w:hint="eastAsia" w:ascii="仿宋" w:hAnsi="仿宋" w:eastAsia="仿宋" w:cs="仿宋"/>
          <w:b/>
          <w:sz w:val="28"/>
          <w:szCs w:val="28"/>
          <w:shd w:val="clear" w:color="auto" w:fill="FFFFFF"/>
        </w:rPr>
      </w:pPr>
    </w:p>
    <w:tbl>
      <w:tblPr>
        <w:tblStyle w:val="4"/>
        <w:tblW w:w="8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0"/>
        <w:gridCol w:w="859"/>
        <w:gridCol w:w="820"/>
        <w:gridCol w:w="1564"/>
        <w:gridCol w:w="385"/>
        <w:gridCol w:w="385"/>
        <w:gridCol w:w="359"/>
        <w:gridCol w:w="358"/>
        <w:gridCol w:w="359"/>
        <w:gridCol w:w="372"/>
        <w:gridCol w:w="372"/>
        <w:gridCol w:w="359"/>
        <w:gridCol w:w="385"/>
        <w:gridCol w:w="346"/>
        <w:gridCol w:w="372"/>
        <w:gridCol w:w="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  <w:tblHeader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中职学校</w:t>
            </w:r>
          </w:p>
        </w:tc>
        <w:tc>
          <w:tcPr>
            <w:tcW w:w="8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15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38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289" w:firstLineChars="950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  <w:tblHeader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杭州</w:t>
            </w:r>
          </w:p>
        </w:tc>
        <w:tc>
          <w:tcPr>
            <w:tcW w:w="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宁波</w:t>
            </w:r>
          </w:p>
        </w:tc>
        <w:tc>
          <w:tcPr>
            <w:tcW w:w="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温州</w:t>
            </w:r>
          </w:p>
        </w:tc>
        <w:tc>
          <w:tcPr>
            <w:tcW w:w="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嘉兴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湖州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绍兴</w:t>
            </w:r>
          </w:p>
        </w:tc>
        <w:tc>
          <w:tcPr>
            <w:tcW w:w="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金华</w:t>
            </w:r>
          </w:p>
        </w:tc>
        <w:tc>
          <w:tcPr>
            <w:tcW w:w="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衢州</w:t>
            </w:r>
          </w:p>
        </w:tc>
        <w:tc>
          <w:tcPr>
            <w:tcW w:w="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舟山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台州</w:t>
            </w:r>
          </w:p>
        </w:tc>
        <w:tc>
          <w:tcPr>
            <w:tcW w:w="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丽水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衢州中等专业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数控技术应用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浙江科技学院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机械设计制造及其自动化</w:t>
            </w:r>
          </w:p>
        </w:tc>
        <w:tc>
          <w:tcPr>
            <w:tcW w:w="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pStyle w:val="6"/>
        <w:spacing w:line="600" w:lineRule="exact"/>
        <w:rPr>
          <w:rFonts w:hint="eastAsia" w:ascii="仿宋" w:hAnsi="仿宋" w:eastAsia="仿宋" w:cs="仿宋"/>
          <w:bCs/>
          <w:color w:val="000000"/>
        </w:rPr>
      </w:pPr>
      <w:r>
        <w:rPr>
          <w:rFonts w:hint="eastAsia" w:ascii="仿宋" w:hAnsi="仿宋" w:eastAsia="仿宋" w:cs="仿宋"/>
          <w:bCs/>
          <w:color w:val="000000"/>
        </w:rPr>
        <w:t>注：以上计划均列入中职学校和本科高校年度招生计划</w:t>
      </w:r>
      <w:r>
        <w:rPr>
          <w:rFonts w:hint="eastAsia" w:ascii="仿宋" w:hAnsi="仿宋" w:eastAsia="仿宋" w:cs="仿宋"/>
          <w:bCs/>
          <w:color w:val="000000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lang w:val="en-US" w:eastAsia="zh-CN"/>
        </w:rPr>
        <w:t>最终</w:t>
      </w:r>
      <w:r>
        <w:rPr>
          <w:rFonts w:hint="eastAsia" w:ascii="仿宋" w:hAnsi="仿宋" w:eastAsia="仿宋" w:cs="仿宋"/>
          <w:bCs/>
          <w:color w:val="000000"/>
        </w:rPr>
        <w:t>招生计划数以</w:t>
      </w:r>
      <w:r>
        <w:rPr>
          <w:rFonts w:hint="eastAsia" w:ascii="仿宋" w:hAnsi="仿宋" w:eastAsia="仿宋" w:cs="仿宋"/>
          <w:bCs/>
          <w:color w:val="000000"/>
          <w:lang w:val="en-US" w:eastAsia="zh-CN"/>
        </w:rPr>
        <w:t>上级教育考试院公布</w:t>
      </w:r>
      <w:r>
        <w:rPr>
          <w:rFonts w:hint="eastAsia" w:ascii="仿宋" w:hAnsi="仿宋" w:eastAsia="仿宋" w:cs="仿宋"/>
          <w:bCs/>
          <w:color w:val="000000"/>
        </w:rPr>
        <w:t>为准。</w:t>
      </w:r>
    </w:p>
    <w:p>
      <w:pPr>
        <w:spacing w:line="360" w:lineRule="auto"/>
        <w:ind w:firstLine="42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招生对象：</w:t>
      </w:r>
      <w:r>
        <w:rPr>
          <w:rFonts w:hint="eastAsia" w:ascii="仿宋" w:hAnsi="仿宋" w:eastAsia="仿宋" w:cs="仿宋"/>
          <w:sz w:val="28"/>
          <w:szCs w:val="28"/>
        </w:rPr>
        <w:t>符合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各地市教育局</w:t>
      </w:r>
      <w:r>
        <w:rPr>
          <w:rFonts w:hint="eastAsia" w:ascii="仿宋" w:hAnsi="仿宋" w:eastAsia="仿宋" w:cs="仿宋"/>
          <w:sz w:val="28"/>
          <w:szCs w:val="28"/>
        </w:rPr>
        <w:t>高中招生报名条件的应往届初中毕业生，健康状况符合《普通高等学校招生体检工作指导意见》的相关规定。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.中职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录取办法：中职入学实行统一考试、统一录取。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中职招生纳入全市统一中考，中考成绩公布后，考生可登录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衢州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市中考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志愿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系统填报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根据考生中考成绩、所填志愿按考分从高到低择优录取。招生录取在普通高中录取之前进行，考生一旦被录取，其他高中段学校不得再录取。考生文化课最低录取分数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原则上不低于各设区市教育部门组织的中考总分的75%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。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b w:val="0"/>
          <w:bCs w:val="0"/>
          <w:color w:val="0070C0"/>
          <w:sz w:val="18"/>
          <w:szCs w:val="1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4.本科录取办法：三年后升本科参加中职升学“文化素质+职业技能”全省统一考试，上线方可录取。中本一体化试点项目学生通过转段录取后须进入试点相应高校学习，不得转报其他学校，不得转至其他专业。其中本科入学的体检要求按照《普通高等学校招生体检工作指导意见》及有关补充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学费：根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据国家政策，中职阶段学生免收学费，代收费、住宿费按国家规定执行。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本科阶段学费标准以省发改委等批复为准。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、学籍管理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b w:val="0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shd w:val="clear" w:color="auto" w:fill="FFFFFF"/>
        </w:rPr>
        <w:t>中职阶段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shd w:val="clear" w:color="auto" w:fill="FFFFFF"/>
        </w:rPr>
        <w:t>学生录取后在中职阶段按照《浙江省中等职业学校学生学籍管理实施细则（试行）》进行学籍管理，录入中职学生学籍系统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b w:val="0"/>
          <w:bCs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shd w:val="clear" w:color="auto" w:fill="FFFFFF"/>
          <w:lang w:val="en-US" w:eastAsia="zh-CN"/>
        </w:rPr>
        <w:t>就读地点：衢州市柯城区盈川东路588号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shd w:val="clear" w:color="auto" w:fill="FFFFFF"/>
        </w:rPr>
        <w:t>未升入本科高校的学生，但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shd w:val="clear" w:color="auto" w:fill="FFFFFF"/>
          <w:lang w:val="en-US" w:eastAsia="zh-CN"/>
        </w:rPr>
        <w:t>符合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shd w:val="clear" w:color="auto" w:fill="FFFFFF"/>
        </w:rPr>
        <w:t>中职毕业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shd w:val="clear" w:color="auto" w:fill="FFFFFF"/>
          <w:lang w:val="en-US" w:eastAsia="zh-CN"/>
        </w:rPr>
        <w:t>条件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shd w:val="clear" w:color="auto" w:fill="FFFFFF"/>
        </w:rPr>
        <w:t>，颁发中职毕业证书。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>2.本科阶段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>升入本科高校的学生，按照浙江科技学院的学籍管理规定进行管理；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>就读地点：浙江科技学院安吉校区；</w:t>
      </w:r>
    </w:p>
    <w:p>
      <w:pPr>
        <w:spacing w:line="540" w:lineRule="exact"/>
        <w:ind w:firstLine="560" w:firstLineChars="200"/>
        <w:rPr>
          <w:rFonts w:hint="default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>颁发毕业证书及学位证书的学校名称：浙江科技学院。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firstLine="562" w:firstLineChars="200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  <w:t>五.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咨询联络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中职学校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邮寄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地址：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衢州市柯城区盈川东路588号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衢州中等专业学校学生处：0570-8022016，8022015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招生咨询电话：朱老师：13757001960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0" w:firstLineChars="10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郑老师：13600505724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0" w:firstLineChars="10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周老师：13676611048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微信公众号：衢州中等专业学校</w:t>
      </w:r>
    </w:p>
    <w:p>
      <w:pPr>
        <w:pStyle w:val="2"/>
        <w:tabs>
          <w:tab w:val="center" w:pos="4153"/>
        </w:tabs>
        <w:rPr>
          <w:rFonts w:hint="eastAsia" w:eastAsia="宋体"/>
          <w:b w:val="0"/>
          <w:bCs w:val="0"/>
          <w:lang w:eastAsia="zh-CN"/>
        </w:rPr>
      </w:pPr>
      <w:r>
        <w:rPr>
          <w:rFonts w:hint="eastAsia" w:ascii="宋体" w:hAnsi="宋体"/>
          <w:b w:val="0"/>
          <w:bCs w:val="0"/>
          <w:color w:val="000000"/>
          <w:szCs w:val="21"/>
          <w:lang w:val="en-US" w:eastAsia="zh-CN"/>
        </w:rPr>
        <w:t xml:space="preserve">                  </w:t>
      </w:r>
      <w:r>
        <w:rPr>
          <w:rFonts w:ascii="宋体" w:hAnsi="宋体"/>
          <w:b w:val="0"/>
          <w:bCs w:val="0"/>
          <w:color w:val="000000"/>
          <w:szCs w:val="21"/>
        </w:rPr>
        <w:drawing>
          <wp:inline distT="0" distB="0" distL="0" distR="0">
            <wp:extent cx="2174240" cy="2198370"/>
            <wp:effectExtent l="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 w:val="0"/>
          <w:bCs w:val="0"/>
          <w:color w:val="000000"/>
          <w:szCs w:val="21"/>
          <w:lang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本科学校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400"/>
        <w:textAlignment w:val="auto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邮寄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地址：浙江省杭州市西湖区留和路318号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小和山校区）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4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邮编：310023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招生热线：0571-85070165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学校网址：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http：//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www.zust.edu.cn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本科招生网：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http：//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zsb.zust.edu.cn</w:t>
      </w: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C036F"/>
    <w:rsid w:val="004F09C5"/>
    <w:rsid w:val="030955AE"/>
    <w:rsid w:val="03416830"/>
    <w:rsid w:val="034B1796"/>
    <w:rsid w:val="045A0A67"/>
    <w:rsid w:val="04777E81"/>
    <w:rsid w:val="04B305EE"/>
    <w:rsid w:val="05445CCB"/>
    <w:rsid w:val="059001E9"/>
    <w:rsid w:val="07355615"/>
    <w:rsid w:val="078B02CD"/>
    <w:rsid w:val="087461D3"/>
    <w:rsid w:val="08D36880"/>
    <w:rsid w:val="09C71410"/>
    <w:rsid w:val="0D2F7B42"/>
    <w:rsid w:val="0EB5087F"/>
    <w:rsid w:val="0FC82511"/>
    <w:rsid w:val="102E14DB"/>
    <w:rsid w:val="1108315F"/>
    <w:rsid w:val="11210438"/>
    <w:rsid w:val="11440953"/>
    <w:rsid w:val="115B6DCB"/>
    <w:rsid w:val="13313263"/>
    <w:rsid w:val="14D7452C"/>
    <w:rsid w:val="159F06DD"/>
    <w:rsid w:val="15C55579"/>
    <w:rsid w:val="160A0897"/>
    <w:rsid w:val="161E421D"/>
    <w:rsid w:val="165211E9"/>
    <w:rsid w:val="178E3BE2"/>
    <w:rsid w:val="17E40E02"/>
    <w:rsid w:val="18157648"/>
    <w:rsid w:val="183449F6"/>
    <w:rsid w:val="184D3428"/>
    <w:rsid w:val="19D850F9"/>
    <w:rsid w:val="1A653C2D"/>
    <w:rsid w:val="1A977FE1"/>
    <w:rsid w:val="1AB01724"/>
    <w:rsid w:val="1BFD3280"/>
    <w:rsid w:val="1C561839"/>
    <w:rsid w:val="1C9E076B"/>
    <w:rsid w:val="1FC55FF3"/>
    <w:rsid w:val="20B3627D"/>
    <w:rsid w:val="21145ED6"/>
    <w:rsid w:val="2117319A"/>
    <w:rsid w:val="21F54C1B"/>
    <w:rsid w:val="23892572"/>
    <w:rsid w:val="23B3771F"/>
    <w:rsid w:val="25FC656A"/>
    <w:rsid w:val="266A0232"/>
    <w:rsid w:val="289B406C"/>
    <w:rsid w:val="295C0DB9"/>
    <w:rsid w:val="318219A8"/>
    <w:rsid w:val="31F96F9D"/>
    <w:rsid w:val="32C77027"/>
    <w:rsid w:val="32CA33C3"/>
    <w:rsid w:val="33172A8F"/>
    <w:rsid w:val="331C2659"/>
    <w:rsid w:val="332A48CE"/>
    <w:rsid w:val="335B4536"/>
    <w:rsid w:val="336A54E3"/>
    <w:rsid w:val="3437140D"/>
    <w:rsid w:val="34C57CD0"/>
    <w:rsid w:val="35812C73"/>
    <w:rsid w:val="369F491C"/>
    <w:rsid w:val="36AE3BE1"/>
    <w:rsid w:val="37216D65"/>
    <w:rsid w:val="37D7224D"/>
    <w:rsid w:val="38E83F6D"/>
    <w:rsid w:val="391278C9"/>
    <w:rsid w:val="3A0D5F1B"/>
    <w:rsid w:val="3CD55A77"/>
    <w:rsid w:val="3EDD05F4"/>
    <w:rsid w:val="3F0A428F"/>
    <w:rsid w:val="3FC97144"/>
    <w:rsid w:val="3FCD596A"/>
    <w:rsid w:val="3FD82438"/>
    <w:rsid w:val="40382353"/>
    <w:rsid w:val="41D11060"/>
    <w:rsid w:val="42FD0387"/>
    <w:rsid w:val="43B53F43"/>
    <w:rsid w:val="43F40C37"/>
    <w:rsid w:val="4474239D"/>
    <w:rsid w:val="46B97235"/>
    <w:rsid w:val="46BD024E"/>
    <w:rsid w:val="48D31C4F"/>
    <w:rsid w:val="4A13156D"/>
    <w:rsid w:val="4A2638C8"/>
    <w:rsid w:val="4A7525B6"/>
    <w:rsid w:val="4B7F3AA2"/>
    <w:rsid w:val="4D6B16DA"/>
    <w:rsid w:val="4DA15103"/>
    <w:rsid w:val="4F196E00"/>
    <w:rsid w:val="501E32CC"/>
    <w:rsid w:val="506E519F"/>
    <w:rsid w:val="52B61C42"/>
    <w:rsid w:val="54652343"/>
    <w:rsid w:val="56663101"/>
    <w:rsid w:val="586456A3"/>
    <w:rsid w:val="58C148A4"/>
    <w:rsid w:val="590A2E66"/>
    <w:rsid w:val="592307D0"/>
    <w:rsid w:val="5B502615"/>
    <w:rsid w:val="5BA42ED4"/>
    <w:rsid w:val="5BBD391F"/>
    <w:rsid w:val="5DFA26A8"/>
    <w:rsid w:val="5E7E5041"/>
    <w:rsid w:val="61C0059F"/>
    <w:rsid w:val="61ED35E9"/>
    <w:rsid w:val="62772792"/>
    <w:rsid w:val="62AB0049"/>
    <w:rsid w:val="635E29F9"/>
    <w:rsid w:val="63A14583"/>
    <w:rsid w:val="666A5519"/>
    <w:rsid w:val="66BA0849"/>
    <w:rsid w:val="670D6B3E"/>
    <w:rsid w:val="677304BE"/>
    <w:rsid w:val="680C61CE"/>
    <w:rsid w:val="683433F4"/>
    <w:rsid w:val="6865605D"/>
    <w:rsid w:val="69252FA9"/>
    <w:rsid w:val="693137AD"/>
    <w:rsid w:val="6979500C"/>
    <w:rsid w:val="6AA03E56"/>
    <w:rsid w:val="6BB10CB7"/>
    <w:rsid w:val="6C9A4CBA"/>
    <w:rsid w:val="6CF2409F"/>
    <w:rsid w:val="6D1723F2"/>
    <w:rsid w:val="6D2A0812"/>
    <w:rsid w:val="6D8D3F26"/>
    <w:rsid w:val="6DF004A0"/>
    <w:rsid w:val="6E945D87"/>
    <w:rsid w:val="6F916300"/>
    <w:rsid w:val="723F213C"/>
    <w:rsid w:val="738B05E4"/>
    <w:rsid w:val="73F47FAC"/>
    <w:rsid w:val="755D163C"/>
    <w:rsid w:val="75AC37FC"/>
    <w:rsid w:val="77B72083"/>
    <w:rsid w:val="7A727504"/>
    <w:rsid w:val="7AA104F1"/>
    <w:rsid w:val="7B663B30"/>
    <w:rsid w:val="7B6C036F"/>
    <w:rsid w:val="7C6955CA"/>
    <w:rsid w:val="7D974C39"/>
    <w:rsid w:val="7E9B7B84"/>
    <w:rsid w:val="7EE75374"/>
    <w:rsid w:val="7F821A7B"/>
    <w:rsid w:val="7F90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</w:rPr>
  </w:style>
  <w:style w:type="paragraph" w:styleId="3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paragraph" w:customStyle="1" w:styleId="6">
    <w:name w:val="正式文本ok"/>
    <w:basedOn w:val="3"/>
    <w:qFormat/>
    <w:uiPriority w:val="0"/>
    <w:pPr>
      <w:widowControl/>
      <w:shd w:val="clear" w:color="auto" w:fill="FFFFFF"/>
      <w:spacing w:line="360" w:lineRule="auto"/>
      <w:ind w:firstLine="480" w:firstLineChars="200"/>
      <w:jc w:val="left"/>
    </w:pPr>
    <w:rPr>
      <w:rFonts w:cs="宋体" w:asciiTheme="minorEastAsia" w:hAnsiTheme="minorEastAsia" w:eastAsiaTheme="minorEastAsia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1714</Words>
  <Characters>1872</Characters>
  <Lines>0</Lines>
  <Paragraphs>0</Paragraphs>
  <TotalTime>3</TotalTime>
  <ScaleCrop>false</ScaleCrop>
  <LinksUpToDate>false</LinksUpToDate>
  <CharactersWithSpaces>1895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2022-04-05T06:54:00Z</dcterms:created>
  <dc:creator>双子精灵</dc:creator>
  <cp:lastModifiedBy>Administrator</cp:lastModifiedBy>
  <dcterms:modified xsi:type="dcterms:W3CDTF">2022-04-22T08:02:30Z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4BA1487972354CD9A2F14CC62BB9EE53</vt:lpwstr>
  </property>
</Properties>
</file>