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80" w:lineRule="exact"/>
        <w:jc w:val="center"/>
        <w:rPr>
          <w:rFonts w:hint="eastAsia" w:ascii="黑体" w:hAnsi="黑体" w:eastAsia="黑体" w:cs="黑体"/>
          <w:b/>
          <w:bCs/>
          <w:sz w:val="36"/>
          <w:szCs w:val="36"/>
        </w:rPr>
      </w:pPr>
      <w:bookmarkStart w:id="0" w:name="_Toc350913228"/>
      <w:r>
        <w:rPr>
          <w:rFonts w:hint="eastAsia" w:ascii="黑体" w:hAnsi="黑体" w:eastAsia="黑体" w:cs="黑体"/>
          <w:b/>
          <w:bCs/>
          <w:sz w:val="36"/>
          <w:szCs w:val="36"/>
        </w:rPr>
        <w:t>绍兴市中等专业学校</w:t>
      </w:r>
      <w:r>
        <w:rPr>
          <w:rFonts w:hint="eastAsia" w:ascii="黑体" w:hAnsi="黑体" w:eastAsia="黑体" w:cs="黑体"/>
          <w:b/>
          <w:bCs/>
          <w:kern w:val="0"/>
          <w:sz w:val="36"/>
          <w:szCs w:val="36"/>
        </w:rPr>
        <w:t>·</w:t>
      </w:r>
      <w:r>
        <w:rPr>
          <w:rFonts w:hint="eastAsia" w:ascii="黑体" w:hAnsi="黑体" w:eastAsia="黑体" w:cs="黑体"/>
          <w:b/>
          <w:bCs/>
          <w:sz w:val="36"/>
          <w:szCs w:val="36"/>
        </w:rPr>
        <w:t>绍兴文理学院</w:t>
      </w:r>
    </w:p>
    <w:p>
      <w:pPr>
        <w:spacing w:after="0" w:line="480" w:lineRule="exact"/>
        <w:jc w:val="center"/>
        <w:rPr>
          <w:rFonts w:hint="eastAsia" w:ascii="黑体" w:hAnsi="黑体" w:eastAsia="黑体" w:cs="黑体"/>
          <w:b/>
          <w:sz w:val="36"/>
          <w:szCs w:val="36"/>
        </w:rPr>
      </w:pPr>
      <w:r>
        <w:rPr>
          <w:rFonts w:hint="eastAsia" w:ascii="黑体" w:hAnsi="黑体" w:eastAsia="黑体" w:cs="黑体"/>
          <w:b/>
          <w:sz w:val="36"/>
          <w:szCs w:val="36"/>
        </w:rPr>
        <w:t>工业分析与检验专业中职与应用型本科一体化培养</w:t>
      </w:r>
    </w:p>
    <w:p>
      <w:pPr>
        <w:spacing w:after="0" w:line="480" w:lineRule="exact"/>
        <w:jc w:val="center"/>
        <w:rPr>
          <w:rFonts w:hint="eastAsia" w:ascii="黑体" w:hAnsi="黑体" w:eastAsia="黑体" w:cs="黑体"/>
          <w:b/>
          <w:color w:val="000000"/>
          <w:sz w:val="36"/>
          <w:szCs w:val="36"/>
        </w:rPr>
      </w:pPr>
      <w:r>
        <w:rPr>
          <w:rFonts w:hint="eastAsia" w:ascii="黑体" w:hAnsi="黑体" w:eastAsia="黑体" w:cs="黑体"/>
          <w:b/>
          <w:bCs/>
          <w:sz w:val="36"/>
          <w:szCs w:val="36"/>
        </w:rPr>
        <w:t>招生简章</w:t>
      </w:r>
    </w:p>
    <w:p>
      <w:pPr>
        <w:spacing w:after="0" w:line="520" w:lineRule="exact"/>
        <w:ind w:firstLine="720" w:firstLineChars="200"/>
        <w:rPr>
          <w:rFonts w:hint="eastAsia" w:ascii="黑体" w:hAnsi="黑体" w:eastAsia="黑体" w:cs="黑体"/>
          <w:color w:val="000000" w:themeColor="text1"/>
          <w:sz w:val="36"/>
          <w:szCs w:val="36"/>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640" w:firstLineChars="200"/>
        <w:textAlignment w:val="auto"/>
        <w:outlineLvl w:val="9"/>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绍兴市中等专业学校与绍兴文理学院合作开展中职与本科的一体化培养，本专业是浙江省首批中职与应用型本科一体化人才培养试点项目，是中职学生就读知名本科高校的“快捷通道”。</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643" w:firstLineChars="200"/>
        <w:textAlignment w:val="auto"/>
        <w:outlineLvl w:val="9"/>
        <w:rPr>
          <w:rFonts w:hint="eastAsia" w:ascii="仿宋" w:hAnsi="仿宋" w:eastAsia="仿宋" w:cs="仿宋"/>
          <w:b/>
          <w:sz w:val="32"/>
          <w:szCs w:val="32"/>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643" w:firstLineChars="200"/>
        <w:textAlignment w:val="auto"/>
        <w:outlineLvl w:val="9"/>
        <w:rPr>
          <w:rFonts w:hint="eastAsia" w:ascii="仿宋" w:hAnsi="仿宋" w:eastAsia="仿宋" w:cs="仿宋"/>
          <w:b/>
          <w:sz w:val="32"/>
          <w:szCs w:val="32"/>
        </w:rPr>
      </w:pPr>
      <w:r>
        <w:rPr>
          <w:rFonts w:hint="eastAsia" w:ascii="仿宋" w:hAnsi="仿宋" w:eastAsia="仿宋" w:cs="仿宋"/>
          <w:b/>
          <w:sz w:val="32"/>
          <w:szCs w:val="32"/>
        </w:rPr>
        <w:t>一、学校概况</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643" w:firstLineChars="200"/>
        <w:textAlignment w:val="auto"/>
        <w:outlineLvl w:val="9"/>
        <w:rPr>
          <w:rFonts w:hint="eastAsia" w:ascii="仿宋" w:hAnsi="仿宋" w:eastAsia="仿宋" w:cs="仿宋"/>
          <w:b/>
          <w:color w:val="000000" w:themeColor="text1"/>
          <w:sz w:val="32"/>
          <w:szCs w:val="32"/>
        </w:rPr>
      </w:pPr>
      <w:r>
        <w:rPr>
          <w:rFonts w:hint="eastAsia" w:ascii="仿宋" w:hAnsi="仿宋" w:eastAsia="仿宋" w:cs="仿宋"/>
          <w:b/>
          <w:sz w:val="32"/>
          <w:szCs w:val="32"/>
        </w:rPr>
        <w:t>1</w:t>
      </w:r>
      <w:r>
        <w:rPr>
          <w:rFonts w:hint="eastAsia" w:ascii="仿宋" w:hAnsi="仿宋" w:eastAsia="仿宋" w:cs="仿宋"/>
          <w:b/>
          <w:color w:val="000000" w:themeColor="text1"/>
          <w:sz w:val="32"/>
          <w:szCs w:val="32"/>
        </w:rPr>
        <w:t>.中职学校</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640" w:firstLineChars="200"/>
        <w:textAlignment w:val="auto"/>
        <w:outlineLvl w:val="9"/>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绍兴市中等专业学校于1984年经浙江省人民政府批准建立，是绍兴市教育局直属管理的老牌普通中专学校。学校是国家重点职业学校、全国教育系统先进集体、国家中职改革与发展示范学校、浙江省首批中职名校建设单位、省文明单位、省德育工作先进学校。学校位于绍兴越城区南大门，交通便捷，总占地面积13.8万余平方米，功能区块布局合理、设施完备、环境优美。现有教职工263人，全日制学历教育在校生3300余人。开设建筑、化工、财贸、机电四大类23个专业。学生参加全国职业院校技能大赛先后获得38金25银10铜，是2019年职业院校技能大赛全国十强学校。学校坚持“文化立人、品质立校”，文化氛围浓厚，管理上严而有爱、活而有序，深受社会各界好评。</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2.本科院校</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640" w:firstLineChars="200"/>
        <w:textAlignment w:val="auto"/>
        <w:outlineLvl w:val="9"/>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绍兴文理学院是教育部批准的普通全日制综合性高等学校。学校的办学历史可追溯到1909年创办的山会初级师范学堂，鲁迅先生曾出任山会初级师范学堂监督（校长）。1996年绍兴师范专科学校与绍兴高等专科学校等合并建立绍兴文理学院。</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640" w:firstLineChars="200"/>
        <w:textAlignment w:val="auto"/>
        <w:outlineLvl w:val="9"/>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学校坐落于全国首批历史文化名城绍兴。拥有风则江（河东、河西区块）、南山、兰亭、上虞等4个校区，校园占地面积1487.29亩，校舍总建筑面积62.55万平方米,教学科研仪器设备总值4.97亿元，馆藏纸质图书183.6万册，电子图书约114.05万册，各类中外文电子期刊178.74万册，资料数据库47个。</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640" w:firstLineChars="200"/>
        <w:textAlignment w:val="auto"/>
        <w:outlineLvl w:val="9"/>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学校拥有一级学科硕士学位授权点7个、专业硕士学位授权点6个，省一流学科（B类）6个，工程学学科进入ESI国际学科排名全球前1%。现有本科专业63个，涵盖九大学科门类，拥有国家级特色专业3个、省级重点（建设）专业10个、省“十二五”优势专业2个、省“十二五”新兴特色专业建设项目7个，省“十三五”优势（特色）专业建设项目4个，省一流专业7个。拥有教职工1578人，其中专任教师1049人。专任教师中高级职称491人、博士学位的422人。拥有俄罗斯自然科学院外籍院士1人、享受国务院政府特殊津贴专家5人、省特级专家2人，省“151”人才44人，省高校“钱江学者”特聘教授1人、省宣传文化系统“五个一批”人才2人、省有突出贡献中青年专家3人、省“钱江人才计划”C类项目1人、省高校中青年学科带头人培养对象29人。</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643" w:firstLineChars="200"/>
        <w:textAlignment w:val="auto"/>
        <w:outlineLvl w:val="9"/>
        <w:rPr>
          <w:rFonts w:hint="eastAsia" w:ascii="仿宋" w:hAnsi="仿宋" w:eastAsia="仿宋" w:cs="仿宋"/>
          <w:b/>
          <w:sz w:val="32"/>
          <w:szCs w:val="32"/>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643" w:firstLineChars="200"/>
        <w:textAlignment w:val="auto"/>
        <w:outlineLvl w:val="9"/>
        <w:rPr>
          <w:rFonts w:hint="eastAsia" w:ascii="仿宋" w:hAnsi="仿宋" w:eastAsia="仿宋" w:cs="仿宋"/>
          <w:b/>
          <w:sz w:val="32"/>
          <w:szCs w:val="32"/>
        </w:rPr>
      </w:pPr>
      <w:r>
        <w:rPr>
          <w:rFonts w:hint="eastAsia" w:ascii="仿宋" w:hAnsi="仿宋" w:eastAsia="仿宋" w:cs="仿宋"/>
          <w:b/>
          <w:sz w:val="32"/>
          <w:szCs w:val="32"/>
        </w:rPr>
        <w:t>二、专业与培养目标</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643" w:firstLineChars="200"/>
        <w:textAlignment w:val="auto"/>
        <w:outlineLvl w:val="9"/>
        <w:rPr>
          <w:rFonts w:hint="eastAsia" w:ascii="仿宋" w:hAnsi="仿宋" w:eastAsia="仿宋" w:cs="仿宋"/>
          <w:b/>
          <w:sz w:val="32"/>
          <w:szCs w:val="32"/>
        </w:rPr>
      </w:pPr>
      <w:r>
        <w:rPr>
          <w:rFonts w:hint="eastAsia" w:ascii="仿宋" w:hAnsi="仿宋" w:eastAsia="仿宋" w:cs="仿宋"/>
          <w:b/>
          <w:sz w:val="32"/>
          <w:szCs w:val="32"/>
        </w:rPr>
        <w:t>1.招生专业名称及专业代码</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rPr>
        <w:t>本科阶段：</w:t>
      </w:r>
      <w:r>
        <w:rPr>
          <w:rFonts w:hint="eastAsia" w:ascii="仿宋" w:hAnsi="仿宋" w:eastAsia="仿宋" w:cs="仿宋"/>
          <w:sz w:val="32"/>
          <w:szCs w:val="32"/>
        </w:rPr>
        <w:t>应用化学（070302）——浙江省重点学科（A类）</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rPr>
        <w:t>中职阶段：</w:t>
      </w:r>
      <w:r>
        <w:rPr>
          <w:rFonts w:hint="eastAsia" w:ascii="仿宋" w:hAnsi="仿宋" w:eastAsia="仿宋" w:cs="仿宋"/>
          <w:sz w:val="32"/>
          <w:szCs w:val="32"/>
        </w:rPr>
        <w:t>工业分析与检验（060200）——省级示范专业</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2.学制</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学制：3年+ 4年，前3年在绍兴市中等专业学校学习，三年后参加中职升学“文化素质+职业技能”全省统一考试，上线录取后，在绍兴文理学院完成4年本科学习，实现中本贯通，联合培养。成绩合格，取得全日制本科学历、授予工学学士学位。</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643" w:firstLineChars="200"/>
        <w:textAlignment w:val="auto"/>
        <w:outlineLvl w:val="9"/>
        <w:rPr>
          <w:rFonts w:hint="eastAsia" w:ascii="仿宋" w:hAnsi="仿宋" w:eastAsia="仿宋" w:cs="仿宋"/>
          <w:b/>
          <w:kern w:val="2"/>
          <w:sz w:val="32"/>
          <w:szCs w:val="32"/>
        </w:rPr>
      </w:pPr>
      <w:r>
        <w:rPr>
          <w:rFonts w:hint="eastAsia" w:ascii="仿宋" w:hAnsi="仿宋" w:eastAsia="仿宋" w:cs="仿宋"/>
          <w:b/>
          <w:kern w:val="2"/>
          <w:sz w:val="32"/>
          <w:szCs w:val="32"/>
        </w:rPr>
        <w:t>3.培养模式</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本专业采用中职、高校、企业三方联合培养模式，遵循中职侧重</w:t>
      </w:r>
      <w:r>
        <w:rPr>
          <w:rFonts w:hint="eastAsia" w:ascii="仿宋" w:hAnsi="仿宋" w:eastAsia="仿宋" w:cs="仿宋"/>
          <w:b/>
          <w:bCs/>
          <w:sz w:val="32"/>
          <w:szCs w:val="32"/>
        </w:rPr>
        <w:t>“技能+素养”</w:t>
      </w:r>
      <w:r>
        <w:rPr>
          <w:rFonts w:hint="eastAsia" w:ascii="仿宋" w:hAnsi="仿宋" w:eastAsia="仿宋" w:cs="仿宋"/>
          <w:sz w:val="32"/>
          <w:szCs w:val="32"/>
        </w:rPr>
        <w:t>、高校侧重</w:t>
      </w:r>
      <w:r>
        <w:rPr>
          <w:rFonts w:hint="eastAsia" w:ascii="仿宋" w:hAnsi="仿宋" w:eastAsia="仿宋" w:cs="仿宋"/>
          <w:b/>
          <w:bCs/>
          <w:sz w:val="32"/>
          <w:szCs w:val="32"/>
        </w:rPr>
        <w:t>“理论+创新”</w:t>
      </w:r>
      <w:r>
        <w:rPr>
          <w:rFonts w:hint="eastAsia" w:ascii="仿宋" w:hAnsi="仿宋" w:eastAsia="仿宋" w:cs="仿宋"/>
          <w:sz w:val="32"/>
          <w:szCs w:val="32"/>
        </w:rPr>
        <w:t>、企业侧重</w:t>
      </w:r>
      <w:r>
        <w:rPr>
          <w:rFonts w:hint="eastAsia" w:ascii="仿宋" w:hAnsi="仿宋" w:eastAsia="仿宋" w:cs="仿宋"/>
          <w:b/>
          <w:bCs/>
          <w:sz w:val="32"/>
          <w:szCs w:val="32"/>
        </w:rPr>
        <w:t>“实践+管理”</w:t>
      </w:r>
      <w:r>
        <w:rPr>
          <w:rFonts w:hint="eastAsia" w:ascii="仿宋" w:hAnsi="仿宋" w:eastAsia="仿宋" w:cs="仿宋"/>
          <w:sz w:val="32"/>
          <w:szCs w:val="32"/>
        </w:rPr>
        <w:t>的一体化人才培养思路，集三方优势，实现资源</w:t>
      </w:r>
      <w:r>
        <w:rPr>
          <w:rFonts w:hint="eastAsia" w:ascii="仿宋" w:hAnsi="仿宋" w:eastAsia="仿宋" w:cs="仿宋"/>
          <w:b/>
          <w:bCs/>
          <w:sz w:val="32"/>
          <w:szCs w:val="32"/>
        </w:rPr>
        <w:t>“共建、共享”</w:t>
      </w:r>
      <w:r>
        <w:rPr>
          <w:rFonts w:hint="eastAsia" w:ascii="仿宋" w:hAnsi="仿宋" w:eastAsia="仿宋" w:cs="仿宋"/>
          <w:sz w:val="32"/>
          <w:szCs w:val="32"/>
        </w:rPr>
        <w:t>，人才</w:t>
      </w:r>
      <w:r>
        <w:rPr>
          <w:rFonts w:hint="eastAsia" w:ascii="仿宋" w:hAnsi="仿宋" w:eastAsia="仿宋" w:cs="仿宋"/>
          <w:b/>
          <w:bCs/>
          <w:sz w:val="32"/>
          <w:szCs w:val="32"/>
        </w:rPr>
        <w:t>“共培、共育”</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643" w:firstLineChars="200"/>
        <w:textAlignment w:val="auto"/>
        <w:outlineLvl w:val="9"/>
        <w:rPr>
          <w:rFonts w:hint="eastAsia" w:ascii="仿宋" w:hAnsi="仿宋" w:eastAsia="仿宋" w:cs="仿宋"/>
          <w:b/>
          <w:kern w:val="2"/>
          <w:sz w:val="32"/>
          <w:szCs w:val="32"/>
        </w:rPr>
      </w:pPr>
      <w:r>
        <w:rPr>
          <w:rFonts w:hint="eastAsia" w:ascii="仿宋" w:hAnsi="仿宋" w:eastAsia="仿宋" w:cs="仿宋"/>
          <w:b/>
          <w:kern w:val="2"/>
          <w:sz w:val="32"/>
          <w:szCs w:val="32"/>
        </w:rPr>
        <w:t>4.培养目标</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本专业培养德、智、体、美、劳全面发展，能适应本地区绿色化工、生命健康等产业发展需求，具有化学、化工方面的专门知识、能力与素质，能在产品质量技术监督、环境监测、进出口商品检验、食品安全与药物分析、生物医学检验和工农业产品分析等方面从事科研、生产和管理工作的高素质应用型创新人才。</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640" w:firstLineChars="200"/>
        <w:textAlignment w:val="auto"/>
        <w:outlineLvl w:val="9"/>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三、招生计划与录取办法</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1.招生对象</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(1)招生计划</w:t>
      </w:r>
    </w:p>
    <w:tbl>
      <w:tblPr>
        <w:tblStyle w:val="10"/>
        <w:tblW w:w="8463" w:type="dxa"/>
        <w:jc w:val="center"/>
        <w:tblInd w:w="624" w:type="dxa"/>
        <w:tblLayout w:type="fixed"/>
        <w:tblCellMar>
          <w:top w:w="15" w:type="dxa"/>
          <w:left w:w="15" w:type="dxa"/>
          <w:bottom w:w="15" w:type="dxa"/>
          <w:right w:w="15" w:type="dxa"/>
        </w:tblCellMar>
      </w:tblPr>
      <w:tblGrid>
        <w:gridCol w:w="1680"/>
        <w:gridCol w:w="1701"/>
        <w:gridCol w:w="2063"/>
        <w:gridCol w:w="1761"/>
        <w:gridCol w:w="1258"/>
      </w:tblGrid>
      <w:tr>
        <w:tblPrEx>
          <w:tblLayout w:type="fixed"/>
          <w:tblCellMar>
            <w:top w:w="15" w:type="dxa"/>
            <w:left w:w="15" w:type="dxa"/>
            <w:bottom w:w="15" w:type="dxa"/>
            <w:right w:w="15" w:type="dxa"/>
          </w:tblCellMar>
        </w:tblPrEx>
        <w:trPr>
          <w:trHeight w:val="901" w:hRule="atLeast"/>
          <w:tblHeader/>
          <w:jc w:val="center"/>
        </w:trPr>
        <w:tc>
          <w:tcPr>
            <w:tcW w:w="1680"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中职学校</w:t>
            </w:r>
          </w:p>
        </w:tc>
        <w:tc>
          <w:tcPr>
            <w:tcW w:w="1701"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专业名称</w:t>
            </w:r>
          </w:p>
        </w:tc>
        <w:tc>
          <w:tcPr>
            <w:tcW w:w="2063"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本科院校</w:t>
            </w:r>
          </w:p>
        </w:tc>
        <w:tc>
          <w:tcPr>
            <w:tcW w:w="1761"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专业名称</w:t>
            </w:r>
          </w:p>
        </w:tc>
        <w:tc>
          <w:tcPr>
            <w:tcW w:w="12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计划数</w:t>
            </w:r>
          </w:p>
        </w:tc>
      </w:tr>
      <w:tr>
        <w:tblPrEx>
          <w:tblLayout w:type="fixed"/>
          <w:tblCellMar>
            <w:top w:w="15" w:type="dxa"/>
            <w:left w:w="15" w:type="dxa"/>
            <w:bottom w:w="15" w:type="dxa"/>
            <w:right w:w="15" w:type="dxa"/>
          </w:tblCellMar>
        </w:tblPrEx>
        <w:trPr>
          <w:trHeight w:val="1304" w:hRule="atLeast"/>
          <w:jc w:val="center"/>
        </w:trPr>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绍兴市中等专业学校</w:t>
            </w: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工业分析与检验</w:t>
            </w:r>
          </w:p>
        </w:tc>
        <w:tc>
          <w:tcPr>
            <w:tcW w:w="20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绍兴文理学院</w:t>
            </w:r>
          </w:p>
        </w:tc>
        <w:tc>
          <w:tcPr>
            <w:tcW w:w="17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应用化学</w:t>
            </w:r>
          </w:p>
        </w:tc>
        <w:tc>
          <w:tcPr>
            <w:tcW w:w="12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ind w:right="0" w:right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40</w:t>
            </w:r>
          </w:p>
        </w:tc>
      </w:tr>
    </w:tbl>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(2)符合绍兴各类高中招生报考条件的应往届初中毕业生，</w:t>
      </w:r>
      <w:bookmarkStart w:id="1" w:name="_GoBack"/>
      <w:bookmarkEnd w:id="1"/>
      <w:r>
        <w:rPr>
          <w:rFonts w:hint="eastAsia" w:ascii="仿宋" w:hAnsi="仿宋" w:eastAsia="仿宋" w:cs="仿宋"/>
          <w:sz w:val="32"/>
          <w:szCs w:val="32"/>
        </w:rPr>
        <w:t>面向绍兴本地生源。</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2.中考录取办法</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color w:val="000000"/>
          <w:sz w:val="32"/>
          <w:szCs w:val="32"/>
        </w:rPr>
        <w:t>工业分析与检验（</w:t>
      </w:r>
      <w:r>
        <w:rPr>
          <w:rFonts w:hint="eastAsia" w:ascii="仿宋" w:hAnsi="仿宋" w:eastAsia="仿宋" w:cs="仿宋"/>
          <w:b/>
          <w:sz w:val="32"/>
          <w:szCs w:val="32"/>
        </w:rPr>
        <w:t>中职与应用型本科一体化培养</w:t>
      </w:r>
      <w:r>
        <w:rPr>
          <w:rFonts w:hint="eastAsia" w:ascii="仿宋" w:hAnsi="仿宋" w:eastAsia="仿宋" w:cs="仿宋"/>
          <w:color w:val="000000"/>
          <w:sz w:val="32"/>
          <w:szCs w:val="32"/>
        </w:rPr>
        <w:t>）专业</w:t>
      </w:r>
      <w:r>
        <w:rPr>
          <w:rFonts w:hint="eastAsia" w:ascii="仿宋" w:hAnsi="仿宋" w:eastAsia="仿宋" w:cs="仿宋"/>
          <w:sz w:val="32"/>
          <w:szCs w:val="32"/>
        </w:rPr>
        <w:t>招生纳入绍兴市统一中考，根据中考成绩、所填志愿从高到低，按计划、择优、统一录取，色盲、色弱者限报。</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年后升入绍兴文理学院的学生须参加中职升学“文化素质+职业技能”全省统一考试，上线方可录取。不合格者不予录取，但其中达到中职毕业水平的，颁发普通中专毕业证书。升入高校的学生体检标准按照《普通高等学校招生体检工作指导意见》执行。</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3.学籍管理办法</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640" w:firstLineChars="200"/>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学生初次办理入学注册手续后，学校为其采集录入学籍信息，建立学籍档案，通过电子学籍系统申请学籍号；学籍管理实行“籍随人走”,学生升学时，学籍档案转至升入学校，转出学校保留电子档案备份，同时保留必要的纸质档案复印件，学生最后终止学业的学校归档永久保存学生的学籍档案。</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643" w:firstLineChars="200"/>
        <w:textAlignment w:val="auto"/>
        <w:outlineLvl w:val="9"/>
        <w:rPr>
          <w:rFonts w:hint="eastAsia" w:ascii="仿宋" w:hAnsi="仿宋" w:eastAsia="仿宋" w:cs="仿宋"/>
          <w:b/>
          <w:bCs/>
          <w:sz w:val="32"/>
          <w:szCs w:val="32"/>
        </w:rPr>
      </w:pP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四、联系方式</w:t>
      </w:r>
    </w:p>
    <w:bookmarkEnd w:id="0"/>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jc w:val="center"/>
        <w:textAlignment w:val="auto"/>
        <w:outlineLvl w:val="9"/>
        <w:rPr>
          <w:rFonts w:hint="eastAsia" w:ascii="仿宋" w:hAnsi="仿宋" w:eastAsia="仿宋" w:cs="仿宋"/>
          <w:b/>
          <w:sz w:val="28"/>
          <w:szCs w:val="28"/>
        </w:rPr>
      </w:pPr>
      <w:r>
        <w:rPr>
          <w:rFonts w:hint="eastAsia" w:ascii="仿宋" w:hAnsi="仿宋" w:eastAsia="仿宋" w:cs="仿宋"/>
          <w:b/>
          <w:sz w:val="28"/>
          <w:szCs w:val="28"/>
        </w:rPr>
        <w:drawing>
          <wp:anchor distT="0" distB="0" distL="114300" distR="114300" simplePos="0" relativeHeight="251659264" behindDoc="0" locked="0" layoutInCell="1" allowOverlap="1">
            <wp:simplePos x="0" y="0"/>
            <wp:positionH relativeFrom="column">
              <wp:posOffset>213995</wp:posOffset>
            </wp:positionH>
            <wp:positionV relativeFrom="paragraph">
              <wp:posOffset>478790</wp:posOffset>
            </wp:positionV>
            <wp:extent cx="962025" cy="914400"/>
            <wp:effectExtent l="19050" t="0" r="9525" b="0"/>
            <wp:wrapSquare wrapText="bothSides"/>
            <wp:docPr id="1" name="图片 0" descr="中专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中专二维码.jpg"/>
                    <pic:cNvPicPr>
                      <a:picLocks noChangeAspect="1" noChangeArrowheads="1"/>
                    </pic:cNvPicPr>
                  </pic:nvPicPr>
                  <pic:blipFill>
                    <a:blip r:embed="rId5" cstate="print"/>
                    <a:srcRect/>
                    <a:stretch>
                      <a:fillRect/>
                    </a:stretch>
                  </pic:blipFill>
                  <pic:spPr>
                    <a:xfrm>
                      <a:off x="0" y="0"/>
                      <a:ext cx="962025" cy="914400"/>
                    </a:xfrm>
                    <a:prstGeom prst="rect">
                      <a:avLst/>
                    </a:prstGeom>
                    <a:noFill/>
                    <a:ln w="9525">
                      <a:noFill/>
                      <a:miter lim="800000"/>
                      <a:headEnd/>
                      <a:tailEnd/>
                    </a:ln>
                  </pic:spPr>
                </pic:pic>
              </a:graphicData>
            </a:graphic>
          </wp:anchor>
        </w:drawing>
      </w:r>
      <w:r>
        <w:rPr>
          <w:rFonts w:hint="eastAsia" w:ascii="仿宋" w:hAnsi="仿宋" w:eastAsia="仿宋" w:cs="仿宋"/>
          <w:b/>
          <w:sz w:val="28"/>
          <w:szCs w:val="28"/>
        </w:rPr>
        <w:t>升学立交桥圆大学梦   技能大赛圆金牌梦   就业有出路圆成才梦</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学校网址：</w:t>
      </w:r>
      <w:r>
        <w:rPr>
          <w:rFonts w:hint="eastAsia" w:ascii="仿宋" w:hAnsi="仿宋" w:eastAsia="仿宋" w:cs="仿宋"/>
          <w:sz w:val="32"/>
          <w:szCs w:val="32"/>
        </w:rPr>
        <w:drawing>
          <wp:inline distT="0" distB="0" distL="0" distR="0">
            <wp:extent cx="190500" cy="142875"/>
            <wp:effectExtent l="19050" t="0" r="0" b="0"/>
            <wp:docPr id="3" name="图片 2"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W@GJ$ACOF(TYDYECOKVDYB"/>
                    <pic:cNvPicPr>
                      <a:picLocks noChangeAspect="1" noChangeArrowheads="1"/>
                    </pic:cNvPicPr>
                  </pic:nvPicPr>
                  <pic:blipFill>
                    <a:blip r:embed="rId6" cstate="print"/>
                    <a:srcRect/>
                    <a:stretch>
                      <a:fillRect/>
                    </a:stretch>
                  </pic:blipFill>
                  <pic:spPr>
                    <a:xfrm>
                      <a:off x="0" y="0"/>
                      <a:ext cx="190500" cy="142875"/>
                    </a:xfrm>
                    <a:prstGeom prst="rect">
                      <a:avLst/>
                    </a:prstGeom>
                    <a:noFill/>
                    <a:ln w="9525">
                      <a:noFill/>
                      <a:miter lim="800000"/>
                      <a:headEnd/>
                      <a:tailEnd/>
                    </a:ln>
                  </pic:spPr>
                </pic:pic>
              </a:graphicData>
            </a:graphic>
          </wp:inline>
        </w:drawing>
      </w:r>
      <w:r>
        <w:rPr>
          <w:rFonts w:hint="eastAsia" w:ascii="仿宋" w:hAnsi="仿宋" w:eastAsia="仿宋" w:cs="仿宋"/>
          <w:sz w:val="32"/>
          <w:szCs w:val="32"/>
        </w:rPr>
        <w:t>Http:// www.sxzz.cn </w:t>
      </w:r>
      <w:r>
        <w:rPr>
          <w:rFonts w:hint="eastAsia" w:ascii="仿宋" w:hAnsi="仿宋" w:eastAsia="仿宋" w:cs="仿宋"/>
          <w:sz w:val="32"/>
          <w:szCs w:val="32"/>
        </w:rPr>
        <w:br w:type="textWrapping"/>
      </w:r>
      <w:r>
        <w:rPr>
          <w:rFonts w:hint="eastAsia" w:ascii="仿宋" w:hAnsi="仿宋" w:eastAsia="仿宋" w:cs="仿宋"/>
          <w:sz w:val="32"/>
          <w:szCs w:val="32"/>
        </w:rPr>
        <w:t>学校地址：绍兴市越城区城南众香路901号(高速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公路“绍兴南”出口300米)</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微信公众号：sxzz1985</w:t>
      </w:r>
    </w:p>
    <w:p>
      <w:pPr>
        <w:ind w:firstLine="640" w:firstLineChars="200"/>
        <w:rPr>
          <w:rFonts w:hint="eastAsia" w:ascii="仿宋" w:hAnsi="仿宋" w:eastAsia="仿宋" w:cs="仿宋"/>
          <w:color w:val="000000"/>
          <w:sz w:val="32"/>
          <w:szCs w:val="32"/>
        </w:rPr>
      </w:pPr>
      <w:r>
        <w:rPr>
          <w:rFonts w:hint="eastAsia" w:ascii="仿宋" w:hAnsi="仿宋" w:eastAsia="仿宋" w:cs="仿宋"/>
          <w:sz w:val="32"/>
          <w:szCs w:val="32"/>
        </w:rPr>
        <w:t>咨询热线：0575-88589116    0575-88589115（李老师）</w:t>
      </w:r>
    </w:p>
    <w:p>
      <w:pPr>
        <w:spacing w:after="0" w:line="520" w:lineRule="exact"/>
        <w:ind w:firstLine="560" w:firstLineChars="200"/>
        <w:rPr>
          <w:rFonts w:ascii="宋体" w:hAnsi="宋体" w:eastAsia="宋体"/>
          <w:sz w:val="28"/>
          <w:szCs w:val="28"/>
        </w:rPr>
      </w:pPr>
    </w:p>
    <w:sectPr>
      <w:headerReference r:id="rId3"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rawingGridVerticalSpacing w:val="156"/>
  <w:displayHorizontalDrawingGridEvery w:val="2"/>
  <w:displayVerticalDrawingGridEvery w:val="2"/>
  <w:characterSpacingControl w:val="doNotCompress"/>
  <w:compat>
    <w:useFELayout/>
    <w:compatSetting w:name="compatibilityMode" w:uri="http://schemas.microsoft.com/office/word" w:val="12"/>
  </w:compat>
  <w:rsids>
    <w:rsidRoot w:val="00D31D50"/>
    <w:rsid w:val="001630FE"/>
    <w:rsid w:val="002176E3"/>
    <w:rsid w:val="00237504"/>
    <w:rsid w:val="002A0E47"/>
    <w:rsid w:val="00323B43"/>
    <w:rsid w:val="003D37D8"/>
    <w:rsid w:val="00426133"/>
    <w:rsid w:val="004358AB"/>
    <w:rsid w:val="00514477"/>
    <w:rsid w:val="005766AA"/>
    <w:rsid w:val="005D698F"/>
    <w:rsid w:val="006618A1"/>
    <w:rsid w:val="0067159D"/>
    <w:rsid w:val="008B7726"/>
    <w:rsid w:val="00982F34"/>
    <w:rsid w:val="009B43AC"/>
    <w:rsid w:val="00A440E9"/>
    <w:rsid w:val="00AB6D42"/>
    <w:rsid w:val="00C779C5"/>
    <w:rsid w:val="00D31836"/>
    <w:rsid w:val="00D31D50"/>
    <w:rsid w:val="00D42DFB"/>
    <w:rsid w:val="00D511DE"/>
    <w:rsid w:val="00DA031F"/>
    <w:rsid w:val="00EA19DE"/>
    <w:rsid w:val="2B6830F1"/>
    <w:rsid w:val="4CDD6F45"/>
    <w:rsid w:val="521312E2"/>
    <w:rsid w:val="60B26ED7"/>
    <w:rsid w:val="66E56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3"/>
    <w:unhideWhenUsed/>
    <w:qFormat/>
    <w:uiPriority w:val="99"/>
  </w:style>
  <w:style w:type="paragraph" w:styleId="3">
    <w:name w:val="Balloon Text"/>
    <w:basedOn w:val="1"/>
    <w:link w:val="14"/>
    <w:unhideWhenUsed/>
    <w:qFormat/>
    <w:uiPriority w:val="99"/>
    <w:pPr>
      <w:spacing w:after="0"/>
    </w:pPr>
    <w:rPr>
      <w:sz w:val="18"/>
      <w:szCs w:val="18"/>
    </w:rPr>
  </w:style>
  <w:style w:type="paragraph" w:styleId="4">
    <w:name w:val="footer"/>
    <w:basedOn w:val="1"/>
    <w:link w:val="12"/>
    <w:unhideWhenUsed/>
    <w:uiPriority w:val="99"/>
    <w:pPr>
      <w:tabs>
        <w:tab w:val="center" w:pos="4153"/>
        <w:tab w:val="right" w:pos="8306"/>
      </w:tabs>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unhideWhenUsed/>
    <w:qFormat/>
    <w:uiPriority w:val="99"/>
    <w:pPr>
      <w:adjustRightInd/>
      <w:snapToGrid/>
      <w:spacing w:before="100" w:beforeAutospacing="1" w:after="100" w:afterAutospacing="1"/>
    </w:pPr>
    <w:rPr>
      <w:rFonts w:ascii="宋体" w:hAnsi="宋体" w:eastAsia="宋体" w:cs="Calibri"/>
      <w:sz w:val="24"/>
      <w:szCs w:val="21"/>
    </w:rPr>
  </w:style>
  <w:style w:type="character" w:styleId="8">
    <w:name w:val="Hyperlink"/>
    <w:basedOn w:val="7"/>
    <w:unhideWhenUsed/>
    <w:qFormat/>
    <w:uiPriority w:val="99"/>
    <w:rPr>
      <w:color w:val="0000FF" w:themeColor="hyperlink"/>
      <w:u w:val="single"/>
    </w:rPr>
  </w:style>
  <w:style w:type="character" w:styleId="9">
    <w:name w:val="annotation reference"/>
    <w:basedOn w:val="7"/>
    <w:unhideWhenUsed/>
    <w:qFormat/>
    <w:uiPriority w:val="99"/>
    <w:rPr>
      <w:sz w:val="21"/>
      <w:szCs w:val="21"/>
    </w:rPr>
  </w:style>
  <w:style w:type="character" w:customStyle="1" w:styleId="11">
    <w:name w:val="页眉 Char"/>
    <w:basedOn w:val="7"/>
    <w:link w:val="5"/>
    <w:semiHidden/>
    <w:qFormat/>
    <w:uiPriority w:val="99"/>
    <w:rPr>
      <w:rFonts w:ascii="Tahoma" w:hAnsi="Tahoma"/>
      <w:sz w:val="18"/>
      <w:szCs w:val="18"/>
    </w:rPr>
  </w:style>
  <w:style w:type="character" w:customStyle="1" w:styleId="12">
    <w:name w:val="页脚 Char"/>
    <w:basedOn w:val="7"/>
    <w:link w:val="4"/>
    <w:semiHidden/>
    <w:qFormat/>
    <w:uiPriority w:val="99"/>
    <w:rPr>
      <w:rFonts w:ascii="Tahoma" w:hAnsi="Tahoma"/>
      <w:sz w:val="18"/>
      <w:szCs w:val="18"/>
    </w:rPr>
  </w:style>
  <w:style w:type="character" w:customStyle="1" w:styleId="13">
    <w:name w:val="批注文字 Char"/>
    <w:basedOn w:val="7"/>
    <w:link w:val="2"/>
    <w:semiHidden/>
    <w:qFormat/>
    <w:uiPriority w:val="99"/>
    <w:rPr>
      <w:rFonts w:ascii="Tahoma" w:hAnsi="Tahoma"/>
    </w:rPr>
  </w:style>
  <w:style w:type="character" w:customStyle="1" w:styleId="14">
    <w:name w:val="批注框文本 Char"/>
    <w:basedOn w:val="7"/>
    <w:link w:val="3"/>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312</Words>
  <Characters>1785</Characters>
  <Lines>14</Lines>
  <Paragraphs>4</Paragraphs>
  <ScaleCrop>false</ScaleCrop>
  <LinksUpToDate>false</LinksUpToDate>
  <CharactersWithSpaces>2093</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hp</dc:creator>
  <cp:lastModifiedBy>商飞鹏</cp:lastModifiedBy>
  <dcterms:modified xsi:type="dcterms:W3CDTF">2020-05-09T08:41:37Z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